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left="-6" w:leftChars="-70" w:hanging="141" w:hangingChars="44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融资合作银行比选评审表</w:t>
      </w: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1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b/>
                <w:bCs/>
                <w:kern w:val="0"/>
                <w:sz w:val="24"/>
              </w:rPr>
              <w:t>评审指标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b/>
                <w:bCs/>
                <w:kern w:val="0"/>
                <w:sz w:val="24"/>
              </w:rPr>
              <w:t>评分比重</w:t>
            </w:r>
          </w:p>
        </w:tc>
        <w:tc>
          <w:tcPr>
            <w:tcW w:w="595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b/>
                <w:bCs/>
                <w:kern w:val="0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融资成本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40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（1）融资方案中利率为区间的，以区间上限作为评价依据，融资利率高于五年期LPR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-20BP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，不予评选；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（2）按照利率由低到高进行排名，报价利率最低者得分为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40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分，按照排名依次扣减，排名之间利率差距≥5BP扣减5分，排名之间利率差距&lt;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BP扣减3分，最低得分为5分。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信用/抵押条件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15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（1）纯信用，得分为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15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分；</w:t>
            </w:r>
          </w:p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）仅需要土地抵押，得分为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12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分；</w:t>
            </w:r>
          </w:p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3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）需要2种抵押方式（土地抵押、在建工程抵押），得分为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9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分；</w:t>
            </w:r>
          </w:p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（4）需要3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种及其以上抵押方式（土地抵押、在建工程抵押及建成后自持部分资产抵押），得分为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6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分；</w:t>
            </w:r>
          </w:p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（5）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其他，得分为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融资额度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10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（1）融资方案中额度不低于8亿元，得分为8分。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（2）方案承诺充足的提款额度保障且方案附件提供承诺函，并承诺写入合同，得分为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2分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；承诺充足的提款额度保障且方案附件提供承诺函，但无法写入合同，得分为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1分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；无承诺充足的提款额度保障（即方案附件未提供承诺函），得分为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0分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融资期限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（1）融资期限≥10年，得分为5分；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（2）融资期限≥5年但&lt;1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年，得分为3分。其余得分为0分。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资本金要求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资本金要求2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以内者得分为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7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分（含2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），资本金要求2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0%-30%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（含3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）得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分，资本金要求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30%-40%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（含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40%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）得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3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分，资本金要求高于4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0%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资金归还灵活性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（1）承诺可提前还款，且不收取任何费用，得3分，其他表述则不得分；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（2）开始归还本金宽限期最长者得2分，按照排名依次按0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.5分递减，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最低至0分。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审贷、放款效率及审贷放款资料提供清单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（1）审批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资料齐备后，承诺30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天以内（含）完成审贷，得分为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分，超过1个月后每超1天扣0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.5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分，扣完为止;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（2）放款资料齐备后，承诺1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4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天以内（含）完成放款，得分为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分，超过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周后每超1天扣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0.2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分，扣完为止;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（3）根据资料提供的数量，由低到高排名，资料数量最低者得分为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1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分，比最低者每多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项资料则扣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0.2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，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扣完为止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其他约定事项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（1）借款合同中对借款方无其他约定事项，得分为5分；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（2）有1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-3条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常规约定事项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，得分为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3分；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（3）有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4条及其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以上约定事项，得分为0分。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前期合作经验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服务团队专业性强，服务质量高，项目经验丰富，得分为5分；服务团队专业性一般，服务质量一般，项目经验一般，得分为3分； 服务团队专业性不强，服务质量差，项目经验较少，得分为1分。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8" w:type="dxa"/>
            <w:vAlign w:val="center"/>
          </w:tcPr>
          <w:p>
            <w:pPr>
              <w:pStyle w:val="8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服务团队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5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仿宋_GB2312" w:hAnsi="黑体" w:eastAsia="仿宋_GB2312" w:cstheme="minorBidi"/>
                <w:kern w:val="0"/>
                <w:sz w:val="24"/>
              </w:rPr>
            </w:pP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与白鹭湾公司前期有良好合作经验者，得分为</w:t>
            </w:r>
            <w:r>
              <w:rPr>
                <w:rFonts w:ascii="仿宋_GB2312" w:hAnsi="黑体" w:eastAsia="仿宋_GB2312" w:cstheme="minorBidi"/>
                <w:kern w:val="0"/>
                <w:sz w:val="24"/>
              </w:rPr>
              <w:t>3</w:t>
            </w:r>
            <w:r>
              <w:rPr>
                <w:rFonts w:hint="eastAsia" w:ascii="仿宋_GB2312" w:hAnsi="黑体" w:eastAsia="仿宋_GB2312" w:cstheme="minorBidi"/>
                <w:kern w:val="0"/>
                <w:sz w:val="24"/>
              </w:rPr>
              <w:t>分。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827445" o:spid="_x0000_s3073" o:spt="136" type="#_x0000_t136" style="position:absolute;left:0pt;height:22.15pt;width:192.45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王磊2024-06-0614:49:40" style="font-family:Sans Serif;font-size:2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F8"/>
    <w:rsid w:val="00040A6C"/>
    <w:rsid w:val="000D408C"/>
    <w:rsid w:val="000E19D3"/>
    <w:rsid w:val="000F3D02"/>
    <w:rsid w:val="0010560D"/>
    <w:rsid w:val="00157A1E"/>
    <w:rsid w:val="0017299A"/>
    <w:rsid w:val="003A54B0"/>
    <w:rsid w:val="003D5350"/>
    <w:rsid w:val="00495F4F"/>
    <w:rsid w:val="004E343C"/>
    <w:rsid w:val="004E5B63"/>
    <w:rsid w:val="00521AD0"/>
    <w:rsid w:val="005B4EE7"/>
    <w:rsid w:val="005C51E1"/>
    <w:rsid w:val="00614567"/>
    <w:rsid w:val="006177B1"/>
    <w:rsid w:val="0065331F"/>
    <w:rsid w:val="0067644B"/>
    <w:rsid w:val="00697F45"/>
    <w:rsid w:val="008804A7"/>
    <w:rsid w:val="008E0A1E"/>
    <w:rsid w:val="008F0411"/>
    <w:rsid w:val="009D3F19"/>
    <w:rsid w:val="00A90CCA"/>
    <w:rsid w:val="00AD614B"/>
    <w:rsid w:val="00BA77B6"/>
    <w:rsid w:val="00BB2184"/>
    <w:rsid w:val="00C77A87"/>
    <w:rsid w:val="00C81441"/>
    <w:rsid w:val="00D50DF8"/>
    <w:rsid w:val="00D801CD"/>
    <w:rsid w:val="00DC35C0"/>
    <w:rsid w:val="00E71125"/>
    <w:rsid w:val="00F36D14"/>
    <w:rsid w:val="00F46491"/>
    <w:rsid w:val="00F91BD8"/>
    <w:rsid w:val="73F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文字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923</Characters>
  <Lines>7</Lines>
  <Paragraphs>2</Paragraphs>
  <TotalTime>22</TotalTime>
  <ScaleCrop>false</ScaleCrop>
  <LinksUpToDate>false</LinksUpToDate>
  <CharactersWithSpaces>1082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2023-04-14T17:37:00Z</dcterms:created>
  <dc:creator>王一珺</dc:creator>
  <cp:lastModifiedBy>root</cp:lastModifiedBy>
  <dcterms:modified xsi:type="dcterms:W3CDTF">2024-06-06T14:49:41Z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</Properties>
</file>